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1EAA" w14:textId="77777777" w:rsidR="006E7BEE" w:rsidRPr="0064361E" w:rsidRDefault="006E7BEE" w:rsidP="006E7BEE">
      <w:pPr>
        <w:ind w:left="720" w:hanging="720"/>
        <w:jc w:val="center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Peer Reviewed Publications</w:t>
      </w:r>
    </w:p>
    <w:p w14:paraId="30FA6E01" w14:textId="1FEB815B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</w:p>
    <w:p w14:paraId="125AF23C" w14:textId="77777777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Bonnot, T. W., Thompson, F. R., &amp; Millspaugh, J. J. (2011). Extension of landscape-based population viability models to ecoregional scales for conservation planning. Biological Conservation, 144(7), 2041–2053. http://doi.org/10.1016/j.biocon.2011.04.026</w:t>
      </w:r>
    </w:p>
    <w:p w14:paraId="460BA16B" w14:textId="77777777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Bonnot, T. W., Thompson, F. R., Millspaugh, J. J., &amp; Jones-Farrand, D. T. (2013). Landscape-based population viability models demonstrate importance of strategic conservation planning for birds. Biological Conservation, 165, 104–114. </w:t>
      </w:r>
    </w:p>
    <w:p w14:paraId="16D9A499" w14:textId="5C31A757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Bonnot, T.</w:t>
      </w:r>
      <w:r w:rsidR="00877581" w:rsidRPr="0064361E">
        <w:rPr>
          <w:rFonts w:cs="Arial"/>
          <w:sz w:val="24"/>
          <w:szCs w:val="24"/>
        </w:rPr>
        <w:t>W</w:t>
      </w:r>
      <w:r w:rsidRPr="0064361E">
        <w:rPr>
          <w:rFonts w:cs="Arial"/>
          <w:sz w:val="24"/>
          <w:szCs w:val="24"/>
        </w:rPr>
        <w:t>, Thompson, F.</w:t>
      </w:r>
      <w:r w:rsidR="00877581" w:rsidRPr="0064361E">
        <w:rPr>
          <w:rFonts w:cs="Arial"/>
          <w:sz w:val="24"/>
          <w:szCs w:val="24"/>
        </w:rPr>
        <w:t>R</w:t>
      </w:r>
      <w:r w:rsidRPr="0064361E">
        <w:rPr>
          <w:rFonts w:cs="Arial"/>
          <w:sz w:val="24"/>
          <w:szCs w:val="24"/>
        </w:rPr>
        <w:t>,</w:t>
      </w:r>
      <w:r w:rsidR="00877581" w:rsidRPr="0064361E">
        <w:rPr>
          <w:rFonts w:cs="Arial"/>
          <w:sz w:val="24"/>
          <w:szCs w:val="24"/>
        </w:rPr>
        <w:t xml:space="preserve"> and Millspaugh</w:t>
      </w:r>
      <w:r w:rsidRPr="0064361E">
        <w:rPr>
          <w:rFonts w:cs="Arial"/>
          <w:sz w:val="24"/>
          <w:szCs w:val="24"/>
        </w:rPr>
        <w:t xml:space="preserve">, </w:t>
      </w:r>
      <w:r w:rsidR="00877581" w:rsidRPr="0064361E">
        <w:rPr>
          <w:rFonts w:cs="Arial"/>
          <w:sz w:val="24"/>
          <w:szCs w:val="24"/>
        </w:rPr>
        <w:t>J. J. (2017)</w:t>
      </w:r>
      <w:r w:rsidRPr="0064361E">
        <w:rPr>
          <w:rFonts w:cs="Arial"/>
          <w:sz w:val="24"/>
          <w:szCs w:val="24"/>
        </w:rPr>
        <w:t>.</w:t>
      </w:r>
      <w:r w:rsidR="00877581" w:rsidRPr="0064361E">
        <w:rPr>
          <w:rFonts w:cs="Arial"/>
          <w:sz w:val="24"/>
          <w:szCs w:val="24"/>
        </w:rPr>
        <w:t xml:space="preserve"> </w:t>
      </w:r>
      <w:r w:rsidRPr="0064361E">
        <w:rPr>
          <w:rFonts w:cs="Arial"/>
          <w:sz w:val="24"/>
          <w:szCs w:val="24"/>
        </w:rPr>
        <w:t>Dynamic</w:t>
      </w:r>
      <w:r w:rsidRPr="0064361E">
        <w:rPr>
          <w:rFonts w:ascii="Cambria Math" w:hAnsi="Cambria Math" w:cs="Cambria Math"/>
          <w:sz w:val="24"/>
          <w:szCs w:val="24"/>
        </w:rPr>
        <w:t>‐</w:t>
      </w:r>
      <w:r w:rsidRPr="0064361E">
        <w:rPr>
          <w:rFonts w:cs="Arial"/>
          <w:sz w:val="24"/>
          <w:szCs w:val="24"/>
        </w:rPr>
        <w:t xml:space="preserve">landscape metapopulation models predict complex response of wildlife populations to climate and landscape change. </w:t>
      </w:r>
      <w:r w:rsidR="00877581" w:rsidRPr="0064361E">
        <w:rPr>
          <w:rFonts w:cs="Arial"/>
          <w:sz w:val="24"/>
          <w:szCs w:val="24"/>
        </w:rPr>
        <w:t xml:space="preserve">Ecosphere, 8(7). </w:t>
      </w:r>
    </w:p>
    <w:p w14:paraId="368C3941" w14:textId="77777777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Comer, C. E., Bell, A. L., Oswald, B. P., Conway, W. C., &amp; Burt, D. B. (2011). Vegetation and Avian Response to Prescribed Fire on Glade Habitats in the Missouri Ozarks. The American Midland Naturalist, 165(1), 91–104. http://doi.org/10.1674/0003-0031-165.1.91</w:t>
      </w:r>
    </w:p>
    <w:p w14:paraId="3C7D4AE1" w14:textId="77777777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Evans, K. O., Burger, L. W., Oedekoven, C. S., Smith, M. D., Riffell, S. K., Martin, J. A., &amp; Buckland, S. T. (2013). Multi-region response to conservation buffers targeted for northern bobwhite. The Journal of Wildlife Management, 77(4), 716–725. http://doi.org/10.1002/jwmg.502</w:t>
      </w:r>
    </w:p>
    <w:p w14:paraId="2DAE7288" w14:textId="77777777" w:rsidR="005D37BB" w:rsidRPr="0064361E" w:rsidRDefault="007A702D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Fitzgerald, J. A., &amp; Nigh, T. A. (2005). An Ecological Framework for Developing Wildlife Conservation Strategies in the Central Hardwoods Bird Conservation Region. In Proceedings </w:t>
      </w:r>
      <w:r w:rsidR="004F33F3" w:rsidRPr="0064361E">
        <w:rPr>
          <w:rFonts w:cs="Arial"/>
          <w:sz w:val="24"/>
          <w:szCs w:val="24"/>
        </w:rPr>
        <w:t xml:space="preserve">of the </w:t>
      </w:r>
      <w:r w:rsidRPr="0064361E">
        <w:rPr>
          <w:rFonts w:cs="Arial"/>
          <w:sz w:val="24"/>
          <w:szCs w:val="24"/>
        </w:rPr>
        <w:t>Annual Conference</w:t>
      </w:r>
      <w:r w:rsidR="004F33F3" w:rsidRPr="0064361E">
        <w:rPr>
          <w:rFonts w:cs="Arial"/>
          <w:sz w:val="24"/>
          <w:szCs w:val="24"/>
        </w:rPr>
        <w:t xml:space="preserve"> of the</w:t>
      </w:r>
      <w:r w:rsidRPr="0064361E">
        <w:rPr>
          <w:rFonts w:cs="Arial"/>
          <w:sz w:val="24"/>
          <w:szCs w:val="24"/>
        </w:rPr>
        <w:t xml:space="preserve"> Southeast</w:t>
      </w:r>
      <w:r w:rsidR="004F33F3" w:rsidRPr="0064361E">
        <w:rPr>
          <w:rFonts w:cs="Arial"/>
          <w:sz w:val="24"/>
          <w:szCs w:val="24"/>
        </w:rPr>
        <w:t>ern</w:t>
      </w:r>
      <w:r w:rsidRPr="0064361E">
        <w:rPr>
          <w:rFonts w:cs="Arial"/>
          <w:sz w:val="24"/>
          <w:szCs w:val="24"/>
        </w:rPr>
        <w:t xml:space="preserve"> Association of Fish and Wildlife Agencies </w:t>
      </w:r>
      <w:r w:rsidR="004F33F3" w:rsidRPr="0064361E">
        <w:rPr>
          <w:rFonts w:cs="Arial"/>
          <w:sz w:val="24"/>
          <w:szCs w:val="24"/>
        </w:rPr>
        <w:t xml:space="preserve">59, </w:t>
      </w:r>
      <w:r w:rsidRPr="0064361E">
        <w:rPr>
          <w:rFonts w:cs="Arial"/>
          <w:sz w:val="24"/>
          <w:szCs w:val="24"/>
        </w:rPr>
        <w:t>36</w:t>
      </w:r>
      <w:r w:rsidR="004F33F3" w:rsidRPr="0064361E">
        <w:rPr>
          <w:rFonts w:cs="Arial"/>
          <w:sz w:val="24"/>
          <w:szCs w:val="24"/>
        </w:rPr>
        <w:t>3–375</w:t>
      </w:r>
      <w:r w:rsidRPr="0064361E">
        <w:rPr>
          <w:rFonts w:cs="Arial"/>
          <w:sz w:val="24"/>
          <w:szCs w:val="24"/>
        </w:rPr>
        <w:t>.</w:t>
      </w:r>
    </w:p>
    <w:p w14:paraId="7EE20204" w14:textId="77ED9DA7" w:rsidR="00932EAD" w:rsidRPr="0064361E" w:rsidRDefault="0064361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Fitzgerald, J.A., True, C.D., Diamond, D.D., Ettel, T., Moore, L., Nigh, T.A., Vorisek, S. and Wathen, G., 2005. Delineating focus areas for bird conservation in the Central Hardwoods Bird Conservation Region. In </w:t>
      </w:r>
      <w:r w:rsidRPr="0064361E">
        <w:rPr>
          <w:rFonts w:cs="Arial"/>
          <w:iCs/>
          <w:sz w:val="24"/>
          <w:szCs w:val="24"/>
        </w:rPr>
        <w:t>In: Ralph, C. John; Rich, Terrell D., editors 2005. Bird Conservation Implementation and Integration in the Americas: Proceedings of the Third International Partners in Flight Conference. 2002 March 20-24; Asilomar, California, Volume 1 Gen. Tech. Rep. PSW-GTR-191. Albany, CA: US Dept. of Agriculture, Forest Service, Pacific Southwest Research Station: p. 192-202</w:t>
      </w:r>
      <w:r w:rsidRPr="0064361E">
        <w:rPr>
          <w:rFonts w:cs="Arial"/>
          <w:sz w:val="24"/>
          <w:szCs w:val="24"/>
        </w:rPr>
        <w:t> (Vol. 191).</w:t>
      </w:r>
    </w:p>
    <w:p w14:paraId="186C8840" w14:textId="69233697" w:rsidR="005D37BB" w:rsidRPr="0064361E" w:rsidRDefault="00932EAD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Fitzgerald, J.A., Thogmartin, W.E., Dettmers, R., Jones, T., Rustay, C., Ruth, J.M., Thompson III, F.R. and Will, T., 2009. Application of models to conservation planning for terrestrial birds in North America. pp 593-624</w:t>
      </w:r>
    </w:p>
    <w:p w14:paraId="16B3C59C" w14:textId="77777777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Franzreb, K. E., Oswalt, S. N., &amp; Buehler, D. A. (2011). Population trends for eastern scrub-shrub birds related to availability of small-diameter upland hardwood forests. Sustaining Young Forest Communities, 143–166. http://doi.org/10.1007/978-94-007-1620-9_9</w:t>
      </w:r>
    </w:p>
    <w:p w14:paraId="5BF56F5C" w14:textId="163DCEC2" w:rsidR="00F67C16" w:rsidRPr="0064361E" w:rsidRDefault="004F33F3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Giocomo, J. J., Buehler, D. A., &amp; Fitzgerald, J. (2009). Integrating grassland and shrubland bird conservation with the Northern Bobwhite conservation Initiative for the Central Hardwoods Bird Conservation Region. In Proceedings of the International Partners in Flight Conference: Tundra to Tropics (Vol. 4, pp. 545–556). </w:t>
      </w:r>
    </w:p>
    <w:p w14:paraId="30059C68" w14:textId="166DDA71" w:rsidR="00932EAD" w:rsidRPr="0064361E" w:rsidRDefault="00932EAD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Jones-Farrand, D. T., Tirpak, J. M., Thompson III, F. R., Twedt, D. J., Baxter, C. K., Fitzgerald, J. a, &amp; Uihlein III, W. B. (2008). A decision support tool for setting population objectives for priority landbirds in the Central Hardwoods and West Gulf Coastal Plain/Ouachitas bird conservation </w:t>
      </w:r>
      <w:r w:rsidRPr="0064361E">
        <w:rPr>
          <w:rFonts w:cs="Arial"/>
          <w:sz w:val="24"/>
          <w:szCs w:val="24"/>
        </w:rPr>
        <w:lastRenderedPageBreak/>
        <w:t>regions. In Proceedings of the Fourth International Partners in Flight Conference: Tundra to Tropics (pp. 377–387). Retrieved from https://www.nrs.fs.fed.us/pubs/37279</w:t>
      </w:r>
    </w:p>
    <w:p w14:paraId="1D8C132C" w14:textId="51B83423" w:rsidR="00932EAD" w:rsidRPr="0064361E" w:rsidRDefault="0097181A" w:rsidP="008A354D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Jones-Farrand, D. T., Fearer, T. M., Thogmartin, W. E., Thompson, F. R., Nelson, M. D., &amp; Tirpak, J. M. (2011). Comparison of statistical and theoretical habitat models for conservation planning: The benefit of ensemble prediction. Ecological Applications, 21(6), 2269–2282. </w:t>
      </w:r>
      <w:r w:rsidR="00932EAD" w:rsidRPr="0064361E">
        <w:rPr>
          <w:rFonts w:cs="Arial"/>
          <w:sz w:val="24"/>
          <w:szCs w:val="24"/>
        </w:rPr>
        <w:t>http://doi.org/10.1890/10-1047.1</w:t>
      </w:r>
    </w:p>
    <w:p w14:paraId="520EDFB2" w14:textId="21C83EFA" w:rsidR="008A354D" w:rsidRPr="0064361E" w:rsidRDefault="008A354D" w:rsidP="008A354D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Joos, C., Fitzgerald, J., Lituma, C., Giocomo, J. J., &amp; Heggemann, L. (2017). Data-driven planning for the conservation of grassland birds in the Central Hardwoods Bird Conservation Region. In National Quail Symposium Proceedings (p. 142). </w:t>
      </w:r>
    </w:p>
    <w:p w14:paraId="0E84959A" w14:textId="102D49B6" w:rsidR="00CF2F93" w:rsidRPr="0064361E" w:rsidRDefault="00CF2F93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Kendrick, S. W. (2012). Winter bird densities and Eastern Wood-Pewee breeding demography across a savanna-woodland-forest gradient in the Missouri Ozarks. University of Missouri-Columbia. </w:t>
      </w:r>
    </w:p>
    <w:p w14:paraId="18988DC4" w14:textId="77777777" w:rsidR="00932EAD" w:rsidRPr="0064361E" w:rsidRDefault="00932EAD" w:rsidP="00932EAD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Kendrick, S. W., Thompson, F. R., &amp; Reidy, J. L. (2014). Feeding Rates, Double Brooding, Nest Reuse, and Seasonal Fecundity of Eastern Wood-Pewees in the Missouri Ozarks. The Wilson Journal of Ornithology, 126(1), 128–133. http://doi.org/10.1676/13-110.1</w:t>
      </w:r>
    </w:p>
    <w:p w14:paraId="1FA8A335" w14:textId="0F6BF1DE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Kendri</w:t>
      </w:r>
      <w:r w:rsidR="008A354D" w:rsidRPr="0064361E">
        <w:rPr>
          <w:rFonts w:cs="Arial"/>
          <w:sz w:val="24"/>
          <w:szCs w:val="24"/>
        </w:rPr>
        <w:t>ck, S. W., Porneluzi, P. A., Thompson III</w:t>
      </w:r>
      <w:r w:rsidRPr="0064361E">
        <w:rPr>
          <w:rFonts w:cs="Arial"/>
          <w:sz w:val="24"/>
          <w:szCs w:val="24"/>
        </w:rPr>
        <w:t>, F. R. T., Morris, D. L., Haslerig, J. M., &amp; Faaborg, J. (2015). Stand-level bird response to experimental forest management in the Missouri Ozarks. Journal of Wildlife Management, 79(1), 50–59. http://doi.org/10.1002/jwmg.804</w:t>
      </w:r>
    </w:p>
    <w:p w14:paraId="3EEEAD13" w14:textId="04CF7704" w:rsidR="00932EAD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Kendrick, S. W., Thompson, F. R., &amp; Reidy, J. L. (2013). Easte</w:t>
      </w:r>
      <w:r w:rsidR="008A354D" w:rsidRPr="0064361E">
        <w:rPr>
          <w:rFonts w:cs="Arial"/>
          <w:sz w:val="24"/>
          <w:szCs w:val="24"/>
        </w:rPr>
        <w:t>rn Wood-Pewee (Contopus virens</w:t>
      </w:r>
      <w:r w:rsidRPr="0064361E">
        <w:rPr>
          <w:rFonts w:cs="Arial"/>
          <w:sz w:val="24"/>
          <w:szCs w:val="24"/>
        </w:rPr>
        <w:t xml:space="preserve">) breeding demography across a gradient of savanna, woodland, and forest in the Missouri Ozarks. The Auk, 130(2), 355–363. </w:t>
      </w:r>
      <w:r w:rsidR="0064361E" w:rsidRPr="0064361E">
        <w:rPr>
          <w:rFonts w:cs="Arial"/>
          <w:sz w:val="24"/>
          <w:szCs w:val="24"/>
        </w:rPr>
        <w:t>http://doi.org/10.1525/auk.2013.12209</w:t>
      </w:r>
    </w:p>
    <w:p w14:paraId="7C768E21" w14:textId="2E01C353" w:rsidR="00932EAD" w:rsidRPr="0064361E" w:rsidRDefault="006E7BE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Lituma, C.M., 2014. Regional assessment of the relationships of conservation practices to northern bobwhite and other priority grassland bird breeding populations.University of Tennessee-Knoxville.</w:t>
      </w:r>
    </w:p>
    <w:p w14:paraId="326007A8" w14:textId="61171B7E" w:rsidR="005D37BB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Lituma, C. M., &amp; Buehler, D. A. (2016). Minimal bias in surveys of grassland birds from roadsides. The Condor, 118(4), 715–727. </w:t>
      </w:r>
      <w:r w:rsidR="0064361E" w:rsidRPr="0064361E">
        <w:rPr>
          <w:rFonts w:cs="Arial"/>
          <w:sz w:val="24"/>
          <w:szCs w:val="24"/>
        </w:rPr>
        <w:t>http://doi.org/10.1650/CONDOR-16-73.1</w:t>
      </w:r>
    </w:p>
    <w:p w14:paraId="29128249" w14:textId="1DDF0333" w:rsidR="005D37BB" w:rsidRPr="0064361E" w:rsidRDefault="006E7BEE" w:rsidP="005D37BB">
      <w:pPr>
        <w:ind w:left="720" w:hanging="720"/>
        <w:rPr>
          <w:rFonts w:cs="Arial"/>
          <w:color w:val="222222"/>
          <w:sz w:val="24"/>
          <w:szCs w:val="24"/>
          <w:shd w:val="clear" w:color="auto" w:fill="FFFFFF"/>
        </w:rPr>
      </w:pPr>
      <w:r w:rsidRPr="0064361E">
        <w:rPr>
          <w:rFonts w:cs="Arial"/>
          <w:color w:val="222222"/>
          <w:sz w:val="24"/>
          <w:szCs w:val="24"/>
          <w:shd w:val="clear" w:color="auto" w:fill="FFFFFF"/>
        </w:rPr>
        <w:t>Lituma, C.M., Buehler, D.A., Tanner, E.P., Unger, A.M., Morgan, J.J., Keyser, P.D. and Harper, C.A., 2012. Monitoring Northern Bobwhite Breeding Populations in the Central Hardwoods Bird Conservation Region. In </w:t>
      </w:r>
      <w:r w:rsidRPr="0064361E">
        <w:rPr>
          <w:rFonts w:cs="Arial"/>
          <w:iCs/>
          <w:color w:val="222222"/>
          <w:sz w:val="24"/>
          <w:szCs w:val="24"/>
          <w:shd w:val="clear" w:color="auto" w:fill="FFFFFF"/>
        </w:rPr>
        <w:t>National Quail Symposium Proceedings</w:t>
      </w:r>
      <w:r w:rsidRPr="0064361E">
        <w:rPr>
          <w:rFonts w:cs="Arial"/>
          <w:color w:val="222222"/>
          <w:sz w:val="24"/>
          <w:szCs w:val="24"/>
          <w:shd w:val="clear" w:color="auto" w:fill="FFFFFF"/>
        </w:rPr>
        <w:t> (Vol. 7, No. 1, p. 77).</w:t>
      </w:r>
    </w:p>
    <w:p w14:paraId="461D0495" w14:textId="0C482AE0" w:rsidR="005D37BB" w:rsidRPr="0064361E" w:rsidRDefault="003836E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Reidy, J. L., Thompson Iii, F. R., &amp; Bailey, J. W. (2011). Comparison of Methods for Estimating Density of Forest Songbirds </w:t>
      </w:r>
      <w:r w:rsidR="00CF2F93" w:rsidRPr="0064361E">
        <w:rPr>
          <w:rFonts w:cs="Arial"/>
          <w:sz w:val="24"/>
          <w:szCs w:val="24"/>
        </w:rPr>
        <w:t>from</w:t>
      </w:r>
      <w:r w:rsidRPr="0064361E">
        <w:rPr>
          <w:rFonts w:cs="Arial"/>
          <w:sz w:val="24"/>
          <w:szCs w:val="24"/>
        </w:rPr>
        <w:t xml:space="preserve"> Point Counts. Source: The Journal of Wildlife Management, 75(3), 558–568. </w:t>
      </w:r>
    </w:p>
    <w:p w14:paraId="08D8E741" w14:textId="56282ACF" w:rsidR="00932EAD" w:rsidRPr="0064361E" w:rsidRDefault="006E7BE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Reidy, J.L., Thompson III, F.R. and Kendrick, S.W., 2014. Breeding bird response to habitat and landscape factors across a gradient of savanna, woodland, and forest in the Missouri Ozarks. </w:t>
      </w:r>
      <w:r w:rsidRPr="0064361E">
        <w:rPr>
          <w:rFonts w:cs="Arial"/>
          <w:iCs/>
          <w:sz w:val="24"/>
          <w:szCs w:val="24"/>
        </w:rPr>
        <w:t>Forest Ecology and Management</w:t>
      </w:r>
      <w:r w:rsidRPr="0064361E">
        <w:rPr>
          <w:rFonts w:cs="Arial"/>
          <w:sz w:val="24"/>
          <w:szCs w:val="24"/>
        </w:rPr>
        <w:t>, </w:t>
      </w:r>
      <w:r w:rsidRPr="0064361E">
        <w:rPr>
          <w:rFonts w:cs="Arial"/>
          <w:iCs/>
          <w:sz w:val="24"/>
          <w:szCs w:val="24"/>
        </w:rPr>
        <w:t>313</w:t>
      </w:r>
      <w:r w:rsidRPr="0064361E">
        <w:rPr>
          <w:rFonts w:cs="Arial"/>
          <w:sz w:val="24"/>
          <w:szCs w:val="24"/>
        </w:rPr>
        <w:t>, pp.34-46.</w:t>
      </w:r>
    </w:p>
    <w:p w14:paraId="20475BC9" w14:textId="0F8A6F4F" w:rsidR="00932EAD" w:rsidRPr="0064361E" w:rsidRDefault="006E7BE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Roach, M.C., Thompson III, F.R. and Jones-Farrand, T., 2018. Songbird nest success is positively related to restoration of pine–oak savanna and woodland in the Ozark Highlands, Missouri, USA. </w:t>
      </w:r>
      <w:r w:rsidRPr="0064361E">
        <w:rPr>
          <w:rFonts w:cs="Arial"/>
          <w:iCs/>
          <w:sz w:val="24"/>
          <w:szCs w:val="24"/>
        </w:rPr>
        <w:t>The Condor</w:t>
      </w:r>
      <w:r w:rsidRPr="0064361E">
        <w:rPr>
          <w:rFonts w:cs="Arial"/>
          <w:sz w:val="24"/>
          <w:szCs w:val="24"/>
        </w:rPr>
        <w:t>, </w:t>
      </w:r>
      <w:r w:rsidRPr="0064361E">
        <w:rPr>
          <w:rFonts w:cs="Arial"/>
          <w:iCs/>
          <w:sz w:val="24"/>
          <w:szCs w:val="24"/>
        </w:rPr>
        <w:t>120</w:t>
      </w:r>
      <w:r w:rsidRPr="0064361E">
        <w:rPr>
          <w:rFonts w:cs="Arial"/>
          <w:sz w:val="24"/>
          <w:szCs w:val="24"/>
        </w:rPr>
        <w:t>(3), pp.543-556.</w:t>
      </w:r>
    </w:p>
    <w:p w14:paraId="6245AEB4" w14:textId="635C1C91" w:rsidR="005D37BB" w:rsidRPr="0064361E" w:rsidRDefault="003836E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Tanner, E. P., Unger, A. M., Keyser, P. D., Harper, C. A., Clark, J. D., &amp; Morgan, J. J. (2012). Survival of radio-marked versus leg-banded northern bobwhite in Kentucky. In National Quail Symposium Proceedings (Vol. 7, No. 1, p. 89).</w:t>
      </w:r>
    </w:p>
    <w:p w14:paraId="44A6A3ED" w14:textId="4CDCD8E7" w:rsidR="00932EAD" w:rsidRPr="0064361E" w:rsidRDefault="00123D42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lastRenderedPageBreak/>
        <w:t xml:space="preserve">Thogmartin, W. E., Fitzgerald, J. A., &amp; Jones, M. T. (2008, February). Conservation design: where do we go from </w:t>
      </w:r>
      <w:r w:rsidR="00CF2F93" w:rsidRPr="0064361E">
        <w:rPr>
          <w:rFonts w:cs="Arial"/>
          <w:sz w:val="24"/>
          <w:szCs w:val="24"/>
        </w:rPr>
        <w:t>here?</w:t>
      </w:r>
      <w:r w:rsidRPr="0064361E">
        <w:rPr>
          <w:rFonts w:cs="Arial"/>
          <w:sz w:val="24"/>
          <w:szCs w:val="24"/>
        </w:rPr>
        <w:t xml:space="preserve"> In Proceedings of the 4th International Partners In Flight Conference: Tundra to Tropics (pp. 13-16).</w:t>
      </w:r>
    </w:p>
    <w:p w14:paraId="51DF2201" w14:textId="77777777" w:rsidR="00123D42" w:rsidRPr="0064361E" w:rsidRDefault="00123D42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Thompson III, F. R., Robbins, M. B., &amp; Fitzgerald, J. A. (2012). Landscape-level forest cover is a predictor of Cerulean Warbler abundance. The Wilson Journal of Ornithology, 124(4), 721-727.</w:t>
      </w:r>
    </w:p>
    <w:p w14:paraId="782867E9" w14:textId="4EE572AB" w:rsidR="00123D42" w:rsidRPr="0009625D" w:rsidRDefault="0009625D" w:rsidP="00123D42">
      <w:pPr>
        <w:ind w:left="720" w:hanging="720"/>
        <w:rPr>
          <w:rFonts w:cs="Arial"/>
          <w:sz w:val="24"/>
          <w:szCs w:val="24"/>
        </w:rPr>
      </w:pPr>
      <w:bookmarkStart w:id="0" w:name="_GoBack"/>
      <w:r w:rsidRPr="0009625D">
        <w:rPr>
          <w:rFonts w:cs="Arial"/>
          <w:sz w:val="24"/>
          <w:szCs w:val="24"/>
        </w:rPr>
        <w:t>Frank III, R., Reidy, J.L., Kendrick, S.W. and Fitzgerald, J.A., 2012. Songbirds in managed and non-managed savannas and woodlands in the central hardwoods region. In </w:t>
      </w:r>
      <w:r w:rsidRPr="0009625D">
        <w:rPr>
          <w:rFonts w:cs="Arial"/>
          <w:iCs/>
          <w:sz w:val="24"/>
          <w:szCs w:val="24"/>
        </w:rPr>
        <w:t>In: Dey, Daniel C.; Stambaugh, Michael C.; Clark, Stacy L.; Schweitzer, Callie J., eds. Proceedings of the 4th fire in eastern oak forests conference; 2011 May 17-19; Springfield, MO. Gen. Tech. Rep. NRS-P-102. Newtown Square, PA: US Department of Agriculture, Forest Service, Northern Research Station: 159-169.</w:t>
      </w:r>
      <w:r w:rsidRPr="0009625D">
        <w:rPr>
          <w:rFonts w:cs="Arial"/>
          <w:sz w:val="24"/>
          <w:szCs w:val="24"/>
        </w:rPr>
        <w:t> (pp. 159-169).</w:t>
      </w:r>
      <w:bookmarkEnd w:id="0"/>
    </w:p>
    <w:p w14:paraId="412756E5" w14:textId="2336FC46" w:rsidR="00123D42" w:rsidRPr="0064361E" w:rsidRDefault="00123D42" w:rsidP="00123D42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Thompson III, F. R. </w:t>
      </w:r>
      <w:r w:rsidR="00932EAD" w:rsidRPr="0064361E">
        <w:rPr>
          <w:rFonts w:cs="Arial"/>
          <w:sz w:val="24"/>
          <w:szCs w:val="24"/>
        </w:rPr>
        <w:t xml:space="preserve"> (2017) </w:t>
      </w:r>
      <w:r w:rsidRPr="0064361E">
        <w:rPr>
          <w:rFonts w:cs="Arial"/>
          <w:sz w:val="24"/>
          <w:szCs w:val="24"/>
        </w:rPr>
        <w:t>"The Importance of Regional and Landscape Context and Climate Change to Northern Bobwhite Management." In National Quail Symposium Proceedings, vol. 8, no. 1, p. 104. 2017.</w:t>
      </w:r>
    </w:p>
    <w:p w14:paraId="4B34F541" w14:textId="3D255020" w:rsidR="006E7BEE" w:rsidRPr="0064361E" w:rsidRDefault="006E7BEE" w:rsidP="00123D42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Thompson, F.R., Hanberry, B., Shifley, S.R. and Davidson, B.K., 2018. Restoration of pine-oak woodlands in Missouri: Using science to inform land management debates and decisions. </w:t>
      </w:r>
      <w:r w:rsidRPr="0064361E">
        <w:rPr>
          <w:rFonts w:cs="Arial"/>
          <w:iCs/>
          <w:sz w:val="24"/>
          <w:szCs w:val="24"/>
        </w:rPr>
        <w:t>The Wildlife Professional. July/August 2018: 56-60.</w:t>
      </w:r>
      <w:r w:rsidRPr="0064361E">
        <w:rPr>
          <w:rFonts w:cs="Arial"/>
          <w:sz w:val="24"/>
          <w:szCs w:val="24"/>
        </w:rPr>
        <w:t>, pp.56-60.</w:t>
      </w:r>
    </w:p>
    <w:p w14:paraId="59DBD397" w14:textId="4BCDE7C7" w:rsidR="00F67C16" w:rsidRPr="0064361E" w:rsidRDefault="00123D42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Tirpak, J. M., Jones-Farrand, D. T., Thompson, F. R., Twedt, D. J., Baxter, C. K., Fitzgerald, J. A., &amp; Uihlein, W. B. (2009). Assessing Ecoregional-Scale Habitat Suitability Index Models for Priority Landbirds. Journal of Wildlife Management, 73(8), 1307–1315. </w:t>
      </w:r>
      <w:r w:rsidR="0064361E" w:rsidRPr="0064361E">
        <w:rPr>
          <w:rStyle w:val="Hyperlink"/>
          <w:rFonts w:cs="Arial"/>
          <w:color w:val="auto"/>
          <w:sz w:val="24"/>
          <w:szCs w:val="24"/>
        </w:rPr>
        <w:t>http://doi.org/10.2193/2008-125</w:t>
      </w:r>
    </w:p>
    <w:p w14:paraId="61513D91" w14:textId="28C5CBC4" w:rsidR="00E27C12" w:rsidRPr="0064361E" w:rsidRDefault="005D37BB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 xml:space="preserve">West, A. S., Keyser, P. D., Lituma, C. M., Buehler, D. A., Applegate, R. D., &amp; Morgan, J. (2016). Grasslands bird occupancy of native warm-season grass. The Journal of Wildlife Management, 80(6), 1081–1090. </w:t>
      </w:r>
      <w:r w:rsidR="0064361E" w:rsidRPr="0064361E">
        <w:rPr>
          <w:rFonts w:cs="Arial"/>
          <w:sz w:val="24"/>
          <w:szCs w:val="24"/>
        </w:rPr>
        <w:t>http://doi.org/10.1002/jwmg.21103</w:t>
      </w:r>
    </w:p>
    <w:p w14:paraId="17D42E25" w14:textId="63EA7072" w:rsidR="00CF0475" w:rsidRPr="0064361E" w:rsidRDefault="00CF0475">
      <w:pPr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br w:type="page"/>
      </w:r>
    </w:p>
    <w:p w14:paraId="33E8B5A8" w14:textId="6F976FF3" w:rsidR="00CF0475" w:rsidRPr="0064361E" w:rsidRDefault="00CF0475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lastRenderedPageBreak/>
        <w:t>Reports</w:t>
      </w:r>
    </w:p>
    <w:p w14:paraId="3A3F0A2B" w14:textId="660B3CF2" w:rsidR="0064361E" w:rsidRPr="0064361E" w:rsidRDefault="0064361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Beachy, T., &amp; Buehler, D. (2008). Priority grassland bird distribution and abundance in Illinois, Indiana, Kentucky, and Tennessee, with a special emphasis on Henslow’s Sparrow. Technical Report</w:t>
      </w:r>
    </w:p>
    <w:p w14:paraId="09939DF2" w14:textId="71C602D4" w:rsidR="0064361E" w:rsidRPr="0064361E" w:rsidRDefault="00CF0475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Brandt, L., He, H., Iverson, L., Thompson, F. R., Butler, P., Handler, S., &amp; Blume-Weaver, R. (2014). Central Hardwoods ecosystem vulnerability assessment and synthesis: a report from the Central Hardwoods Climate Change Response Framework project. Gen. Tech. Rep. NRS-124. Newtown Square, PA: US Department of Agriculture, Forest Service, Northern Research Station. 254 p., 124, 1-254.</w:t>
      </w:r>
    </w:p>
    <w:p w14:paraId="4D2FA5E2" w14:textId="14C753AF" w:rsidR="0064361E" w:rsidRPr="0064361E" w:rsidRDefault="0064361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Rosenberg, K.V., Blancher, P.J., Ralph, C.J. and Rich, T.D., 2005. Bird conservation implementation and integration in the Americas: proceedings of the third international Partners in Flight conference, Volume 1. </w:t>
      </w:r>
      <w:r w:rsidRPr="0064361E">
        <w:rPr>
          <w:rFonts w:cs="Arial"/>
          <w:iCs/>
          <w:sz w:val="24"/>
          <w:szCs w:val="24"/>
        </w:rPr>
        <w:t>US Department of Agriculture Forest Service, Pacific Southwest Research Station, General Technical Report PSW-GTR-191</w:t>
      </w:r>
      <w:r w:rsidRPr="0064361E">
        <w:rPr>
          <w:rFonts w:cs="Arial"/>
          <w:sz w:val="24"/>
          <w:szCs w:val="24"/>
        </w:rPr>
        <w:t>, pp.57-67.</w:t>
      </w:r>
    </w:p>
    <w:p w14:paraId="69C81B90" w14:textId="1846EBCF" w:rsidR="0064361E" w:rsidRPr="0064361E" w:rsidRDefault="0064361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Thompson III, F.R., 2005. Landscape level effects on forest bird populations in eastern broadleaf forests: principles for conservation. In </w:t>
      </w:r>
      <w:r w:rsidRPr="0064361E">
        <w:rPr>
          <w:rFonts w:cs="Arial"/>
          <w:i/>
          <w:iCs/>
          <w:sz w:val="24"/>
          <w:szCs w:val="24"/>
        </w:rPr>
        <w:t>In: Ralph, C. John; Rich, Terrell D., editors 2005. Bird Conservation Implementation and Integration in the Americas: Proceedings of the Third International Partners in Flight Conference. 2002 March 20-24; Asilomar, California, Volume 1 Gen. Tech. Rep. PSW-GTR-191. Albany, CA: US Dept. of Agriculture, Forest Service, Pacific Southwest Research Station: p. 290-295</w:t>
      </w:r>
      <w:r w:rsidRPr="0064361E">
        <w:rPr>
          <w:rFonts w:cs="Arial"/>
          <w:sz w:val="24"/>
          <w:szCs w:val="24"/>
        </w:rPr>
        <w:t> (Vol. 191).</w:t>
      </w:r>
    </w:p>
    <w:p w14:paraId="36AF5F08" w14:textId="2B88635F" w:rsidR="0064361E" w:rsidRDefault="0064361E" w:rsidP="005D37BB">
      <w:pPr>
        <w:ind w:left="720" w:hanging="720"/>
        <w:rPr>
          <w:rFonts w:cs="Arial"/>
          <w:sz w:val="24"/>
          <w:szCs w:val="24"/>
        </w:rPr>
      </w:pPr>
      <w:r w:rsidRPr="0064361E">
        <w:rPr>
          <w:rFonts w:cs="Arial"/>
          <w:sz w:val="24"/>
          <w:szCs w:val="24"/>
        </w:rPr>
        <w:t>Tirpak, J. M., Jones-Farrand, D. T., Frank III, R., Twedt, D. J., &amp; William III, B. (2009). Multiscale habitat suitability index models for priority landbirds in the Central Hardwoods and West Gulf Coastal Plain/Ouachitas Bird Conservation regions. Gen. Tech. Rep. NRS-49. Newtown Square, PA: US Department of Agriculture, Forest Service Northern Research Station. 195 p., 49.</w:t>
      </w:r>
    </w:p>
    <w:p w14:paraId="7ED15254" w14:textId="3212F7B5" w:rsidR="0064361E" w:rsidRPr="0064361E" w:rsidRDefault="0064361E" w:rsidP="005D37BB">
      <w:pPr>
        <w:ind w:left="720" w:hanging="720"/>
        <w:rPr>
          <w:rFonts w:cs="Arial"/>
          <w:sz w:val="24"/>
          <w:szCs w:val="24"/>
        </w:rPr>
      </w:pPr>
    </w:p>
    <w:sectPr w:rsidR="0064361E" w:rsidRPr="0064361E" w:rsidSect="00096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BB"/>
    <w:rsid w:val="0009625D"/>
    <w:rsid w:val="00123D42"/>
    <w:rsid w:val="00317A10"/>
    <w:rsid w:val="003836EB"/>
    <w:rsid w:val="004F33F3"/>
    <w:rsid w:val="005D37BB"/>
    <w:rsid w:val="0064361E"/>
    <w:rsid w:val="006E7BEE"/>
    <w:rsid w:val="007A702D"/>
    <w:rsid w:val="00877581"/>
    <w:rsid w:val="008A354D"/>
    <w:rsid w:val="00932EAD"/>
    <w:rsid w:val="0097181A"/>
    <w:rsid w:val="00CF0475"/>
    <w:rsid w:val="00CF2F93"/>
    <w:rsid w:val="00DD16A7"/>
    <w:rsid w:val="00E27C12"/>
    <w:rsid w:val="00E744AC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9203"/>
  <w15:chartTrackingRefBased/>
  <w15:docId w15:val="{4965297F-1F8D-4D1F-AE6C-98D537E0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Joos</dc:creator>
  <cp:keywords/>
  <dc:description/>
  <cp:lastModifiedBy>Cara Joos</cp:lastModifiedBy>
  <cp:revision>3</cp:revision>
  <dcterms:created xsi:type="dcterms:W3CDTF">2018-06-04T17:44:00Z</dcterms:created>
  <dcterms:modified xsi:type="dcterms:W3CDTF">2018-09-07T19:16:00Z</dcterms:modified>
</cp:coreProperties>
</file>